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40</w:t>
      </w:r>
    </w:p>
    <w:p>
      <w:r>
        <w:drawing>
          <wp:inline xmlns:a="http://schemas.openxmlformats.org/drawingml/2006/main" xmlns:pic="http://schemas.openxmlformats.org/drawingml/2006/picture">
            <wp:extent cx="5486400" cy="36827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40.df-med-img.00cb3d8c-7c8a-48f8-ae63-c08c8e235b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274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00cb3d8c-7c8a-48f8-ae63-c08c8e235b88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Sebsuul region, Dashbalbar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camels</w:t>
      </w:r>
    </w:p>
    <w:p>
      <w:r>
        <w:t>rangeland</w:t>
      </w:r>
    </w:p>
    <w:p>
      <w:pPr>
        <w:pStyle w:val="Heading3"/>
      </w:pPr>
      <w:r>
        <w:t>date</w:t>
      </w:r>
    </w:p>
    <w:p>
      <w:r>
        <w:t>1993-09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bair-batbuyan-photos-40.png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1760x1182 px</w:t>
      </w:r>
    </w:p>
    <w:p>
      <w:r>
        <w:t>2.7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