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Govisumber, No. 25</w:t>
      </w:r>
    </w:p>
    <w:p>
      <w:r>
        <w:drawing>
          <wp:inline xmlns:a="http://schemas.openxmlformats.org/drawingml/2006/main" xmlns:pic="http://schemas.openxmlformats.org/drawingml/2006/picture">
            <wp:extent cx="24323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govisumber_25.df-med-img.111942e9-8197-45d6-b816-847b636bfe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23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111942e9-8197-45d6-b816-847b636bfe30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Govisumber aimag</w:t>
      </w:r>
    </w:p>
    <w:p>
      <w:r>
        <w:t>Mongolia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branding foals</w:t>
      </w:r>
    </w:p>
    <w:p>
      <w:r>
        <w:t>horse brand</w:t>
      </w:r>
    </w:p>
    <w:p>
      <w:r>
        <w:t>pastoralism</w:t>
      </w:r>
    </w:p>
    <w:p>
      <w:pPr>
        <w:pStyle w:val="Heading3"/>
      </w:pPr>
      <w:r>
        <w:t>date</w:t>
      </w:r>
    </w:p>
    <w:p>
      <w:r>
        <w:t>1995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sneath-govisumber_25.png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1182x1776 px</w:t>
      </w:r>
    </w:p>
    <w:p>
      <w:r>
        <w:t>3.1MiB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