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MacArthur project research hypotheses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project-research-hypotheses.df-med-img.38721ec9-673b-4a29-9644-3040f1158c8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38721ec9-673b-4a29-9644-3040f1158c8a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Early working document listing a set of research questions (hypotheses) related to culture and the environment in Inner Asia of the early 1990s, followed by a set of draft questions to be addressed by different researchers through ethnographic interviews and participant observation.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planning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macarthur-project-research-hypotheses.pdf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1003.4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