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44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4.df-med-img.46a14582-19c1-4024-a5ab-f88cac17a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46a14582-19c1-4024-a5ab-f88cac17a941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Dund-bulag, Handgate. Spring pasture, with some damage.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