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Report on the use of remotely sensed data in the analysis of contemporary pastoralism in Inner Asia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mote-sensing-and-pastoralism-report.df-med-img.9598b8f2-6a82-4120-a196-5f7874260e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9598b8f2-6a82-4120-a196-5f7874260e55</w:t>
      </w:r>
    </w:p>
    <w:p>
      <w:pPr>
        <w:pStyle w:val="Heading3"/>
      </w:pPr>
      <w:r>
        <w:t>creator</w:t>
      </w:r>
    </w:p>
    <w:p>
      <w:r>
        <w:t>Sneath, David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GVI</w:t>
      </w:r>
    </w:p>
    <w:p>
      <w:r>
        <w:t>remote sensing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remote-sensing-and-pastoralism-report.pdf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6.0 MiB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2017-05-29 12:12:49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