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Interview with Mongolian Teenager Erika: Part 1 of 2</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Mongolianteeninterview.df-med-img-vid.9f7b3b09-7533-47df-b8ff-37818a3723d5.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9f7b3b09-7533-47df-b8ff-37818a3723d5</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Interview with teenager Erika, daughter of Bat-erdene and Tsetseglen (filmed in Ulaanbaatar/in English)</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2011-06-23 12:07:50</w:t>
      </w:r>
    </w:p>
    <w:p>
      <w:pPr>
        <w:pStyle w:val="Heading3"/>
      </w:pPr>
      <w:r>
        <w:t>language</w:t>
      </w:r>
    </w:p>
    <w:p>
      <w:r>
        <w:t>English</w:t>
      </w:r>
    </w:p>
    <w:p>
      <w:pPr>
        <w:pStyle w:val="Heading3"/>
      </w:pPr>
      <w:r>
        <w:t>original filename</w:t>
      </w:r>
    </w:p>
    <w:p>
      <w:r>
        <w:t>Mongolianteeninterview.mov</w:t>
      </w:r>
    </w:p>
    <w:p>
      <w:pPr>
        <w:pStyle w:val="Heading3"/>
      </w:pPr>
      <w:r>
        <w:t>extent</w:t>
      </w:r>
    </w:p>
    <w:p>
      <w:r>
        <w:t>1.8 GiB</w:t>
      </w:r>
    </w:p>
    <w:p>
      <w:r>
        <w:t>3363.363333</w:t>
      </w:r>
    </w:p>
    <w:p>
      <w:pPr>
        <w:pStyle w:val="Heading3"/>
      </w:pPr>
      <w:r>
        <w:t>format</w:t>
      </w:r>
    </w:p>
    <w:p>
      <w:r>
        <w:t>video/quicktime</w:t>
      </w:r>
    </w:p>
    <w:p>
      <w:pPr>
        <w:pStyle w:val="Heading3"/>
      </w:pPr>
      <w:r>
        <w:t>modified</w:t>
      </w:r>
    </w:p>
    <w:p>
      <w:r>
        <w:t>2017-05-25 11:06:40</w:t>
      </w:r>
    </w:p>
    <w:p>
      <w:pPr>
        <w:pStyle w:val="Heading3"/>
      </w:pPr>
      <w:r>
        <w:t>remote embed url</w:t>
      </w:r>
    </w:p>
    <w:p>
      <w:r>
        <w:t>https://archive.org/embed/V-450-14</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