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“Гоё тараг” хятадынх биш гэдгийг баталлаа › Цахим сэтгүүлзүйн хурд - Bataar.mn</w:t>
      </w:r>
    </w:p>
    <w:p>
      <w:r>
        <w:drawing>
          <wp:inline xmlns:a="http://schemas.openxmlformats.org/drawingml/2006/main" xmlns:pic="http://schemas.openxmlformats.org/drawingml/2006/picture">
            <wp:extent cx="523036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atar.mn.Khyatadynkh_bish.df-med-img.c7f9378c-cfed-4f3e-98ed-5d647ad2dc89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036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c7f9378c-cfed-4f3e-98ed-5d647ad2dc89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http://www.bataar.mn/10020542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24 Mar 2014 10:48:32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baatar.mn.Khyatadynkh_bish.url</w:t>
      </w:r>
    </w:p>
    <w:p>
      <w:pPr>
        <w:pStyle w:val="Heading3"/>
      </w:pPr>
      <w:r>
        <w:t>extent</w:t>
      </w:r>
    </w:p>
    <w:p>
      <w:r>
        <w:t>29.0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2018-03-26T17:10:52Z</dcterms:modified>
  <cp:revision>10</cp:revision>
  <dc:subject/>
  <dc:title>c7f9378c-cfed-4f3e-98ed-5d647ad2dc89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