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handwritten notes from ethnographic interview (English)</w:t>
      </w:r>
    </w:p>
    <w:p>
      <w:r>
        <w:drawing>
          <wp:inline xmlns:a="http://schemas.openxmlformats.org/drawingml/2006/main" xmlns:pic="http://schemas.openxmlformats.org/drawingml/2006/picture">
            <wp:extent cx="302826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lengid-interview-fieldnotes-english-sample.df-med-img.d2e8360a-0983-4fd7-8bfe-ad3ce061fad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26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d2e8360a-0983-4fd7-8bfe-ad3ce061fad4</w:t>
      </w:r>
    </w:p>
    <w:p>
      <w:pPr>
        <w:pStyle w:val="Heading3"/>
      </w:pPr>
      <w:r>
        <w:t>creator</w:t>
      </w:r>
    </w:p>
    <w:p>
      <w:r>
        <w:t>Telengid, B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ethnographic interviews</w:t>
      </w:r>
    </w:p>
    <w:p>
      <w:r>
        <w:t>fieldnotes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Telengid-interview-fieldnotes-english-sample.pdf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1.4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10:34:32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