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090745A with Garamhand (b. 1934):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45A-Garamhand-translation.df-med-img.de47110a-8d55-4bf2-82bb-585964ff35ac.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de47110a-8d55-4bf2-82bb-585964ff35ac</w:t>
      </w:r>
    </w:p>
    <w:p>
      <w:pPr>
        <w:pStyle w:val="Heading3"/>
      </w:pPr>
      <w:r>
        <w:t>creator</w:t>
      </w:r>
    </w:p>
    <w:p>
      <w:r>
        <w:t>Garamhand</w:t>
      </w:r>
    </w:p>
    <w:p>
      <w:pPr>
        <w:pStyle w:val="Heading3"/>
      </w:pPr>
      <w:r>
        <w:t>type</w:t>
      </w:r>
    </w:p>
    <w:p>
      <w:r>
        <w:t>Text</w:t>
      </w:r>
    </w:p>
    <w:p>
      <w:pPr>
        <w:pStyle w:val="Heading3"/>
      </w:pPr>
      <w:r>
        <w:t>coverage</w:t>
      </w:r>
    </w:p>
    <w:p>
      <w:r>
        <w:t>Mongolia</w:t>
      </w:r>
    </w:p>
    <w:p>
      <w:r>
        <w:t>Orkhon aimag</w:t>
      </w:r>
    </w:p>
    <w:p>
      <w:pPr>
        <w:pStyle w:val="Heading3"/>
      </w:pPr>
      <w:r>
        <w:t>description</w:t>
      </w:r>
    </w:p>
    <w:p>
      <w:r>
        <w:t>J.Garamkhand was born in 1934 in Hutag-Öndör sum, Bulgan aimag, in a place called Bürged. She spent her childhood with her parents. In 1948, instead of her mother, she attended the literacy group training for six days and learned the 35 letters. In 1962 she completed a seventh grade education at night school. She is the relative of Hatanbaatar Magsarjav and she talked quite a bit about what she had heard and what she knew about that person, the things he used to consume and about his family and his children. She can’t sing but likes songs and music very much and fond of watching movies and concerts, and public dance circles. She worked at the carpet factory, the sixth arteli, in trade and the self-service store. She talked in detail how the people of that time worked, the peculiarities of the work places, how industry was developed in Mongolia, what was the salary of the people, the purchasing power of the people, and the provisioning of goods.</w:t>
      </w:r>
    </w:p>
    <w:p>
      <w:pPr>
        <w:pStyle w:val="Heading3"/>
      </w:pPr>
      <w:r>
        <w:t>publisher</w:t>
      </w:r>
    </w:p>
    <w:p>
      <w:r>
        <w:t>Oral History of Twentieth Century Mongolia</w:t>
      </w:r>
    </w:p>
    <w:p>
      <w:pPr>
        <w:pStyle w:val="Heading3"/>
      </w:pPr>
      <w:r>
        <w:t>source</w:t>
      </w:r>
    </w:p>
    <w:p>
      <w:r>
        <w:t>&lt;http://amantuuh.socanth.cam.ac.uk/search/view_trans.php?Interview=090745A&gt;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Khatanbaatar Magsarjav</w:t>
      </w:r>
    </w:p>
    <w:p>
      <w:r>
        <w:t>World War II</w:t>
      </w:r>
    </w:p>
    <w:p>
      <w:r>
        <w:t>education</w:t>
      </w:r>
    </w:p>
    <w:p>
      <w:r>
        <w:t>oral history</w:t>
      </w:r>
    </w:p>
    <w:p>
      <w:r>
        <w:t>repression</w:t>
      </w:r>
    </w:p>
    <w:p>
      <w:r>
        <w:t>trade</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Khishigsüren</w:t>
      </w:r>
    </w:p>
    <w:p>
      <w:pPr>
        <w:pStyle w:val="Heading3"/>
      </w:pPr>
      <w:r>
        <w:t>original filename</w:t>
      </w:r>
    </w:p>
    <w:p>
      <w:r>
        <w:t>090745A-Garamhand-translation.url</w:t>
      </w:r>
    </w:p>
    <w:p>
      <w:pPr>
        <w:pStyle w:val="Heading3"/>
      </w:pPr>
      <w:r>
        <w:t>relation</w:t>
      </w:r>
    </w:p>
    <w:p>
      <w:r>
        <w:t>4c76be39-a7ae-414f-9455-1856da3c2835</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